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9" w:rsidRPr="000D22C5" w:rsidRDefault="00010009" w:rsidP="00010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2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00E9E" wp14:editId="305DC639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09" w:rsidRPr="00A721B1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10009" w:rsidRPr="00A721B1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1">
        <w:rPr>
          <w:rFonts w:ascii="Times New Roman" w:hAnsi="Times New Roman" w:cs="Times New Roman"/>
          <w:b/>
          <w:sz w:val="28"/>
          <w:szCs w:val="28"/>
        </w:rPr>
        <w:t>МЯКОНЬКСКОГО СЕЛЬСКОГО ПОСЕЛЕНИЯ</w:t>
      </w:r>
    </w:p>
    <w:p w:rsidR="00010009" w:rsidRPr="00A721B1" w:rsidRDefault="00010009" w:rsidP="0001000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1B1">
        <w:rPr>
          <w:rFonts w:ascii="Times New Roman" w:hAnsi="Times New Roman" w:cs="Times New Roman"/>
          <w:b/>
          <w:color w:val="auto"/>
          <w:sz w:val="28"/>
          <w:szCs w:val="28"/>
        </w:rPr>
        <w:t>ОКТЯБРЬСКОГО МУНИЦИПАЛЬНОГО РАЙОНА</w:t>
      </w:r>
    </w:p>
    <w:p w:rsidR="00010009" w:rsidRPr="00A721B1" w:rsidRDefault="00010009" w:rsidP="0001000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1B1">
        <w:rPr>
          <w:rFonts w:ascii="Times New Roman" w:hAnsi="Times New Roman" w:cs="Times New Roman"/>
          <w:b/>
          <w:color w:val="auto"/>
          <w:sz w:val="28"/>
          <w:szCs w:val="28"/>
        </w:rPr>
        <w:t>ЧЕЛЯБИНСКОЙ ОБЛАСТИ</w:t>
      </w:r>
    </w:p>
    <w:p w:rsidR="00010009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Pr="000D22C5" w:rsidRDefault="00010009" w:rsidP="0001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C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10009" w:rsidRPr="000D22C5" w:rsidRDefault="00010009" w:rsidP="0001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-1.65pt,3.7pt" to="490.35pt,3.7pt"/>
        </w:pict>
      </w:r>
    </w:p>
    <w:p w:rsidR="00010009" w:rsidRPr="008F1202" w:rsidRDefault="00010009" w:rsidP="00010009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010009" w:rsidRDefault="00010009" w:rsidP="00010009">
      <w:pPr>
        <w:pStyle w:val="4"/>
      </w:pPr>
      <w:r>
        <w:t>от              2024 г.  №                                                                                                     ПРОЕКТ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010009" w:rsidRDefault="00010009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0"/>
      </w:tblGrid>
      <w:tr w:rsidR="008F1202" w:rsidRPr="00E84DAC" w:rsidTr="00010009">
        <w:trPr>
          <w:trHeight w:val="995"/>
        </w:trPr>
        <w:tc>
          <w:tcPr>
            <w:tcW w:w="5100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</w:t>
      </w:r>
      <w:r w:rsidR="00645BDC">
        <w:rPr>
          <w:rFonts w:ascii="Times New Roman" w:hAnsi="Times New Roman"/>
          <w:sz w:val="26"/>
          <w:szCs w:val="26"/>
        </w:rPr>
        <w:t>обложения», Уставом Мяконькского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645BDC">
        <w:rPr>
          <w:rFonts w:ascii="Times New Roman" w:hAnsi="Times New Roman"/>
          <w:sz w:val="26"/>
          <w:szCs w:val="26"/>
        </w:rPr>
        <w:t>ет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</w:t>
      </w:r>
      <w:r w:rsidR="00645BDC">
        <w:rPr>
          <w:rFonts w:ascii="Times New Roman" w:hAnsi="Times New Roman"/>
          <w:sz w:val="26"/>
          <w:szCs w:val="26"/>
        </w:rPr>
        <w:t>вести на территории Мяконькского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</w:t>
      </w:r>
      <w:proofErr w:type="gramStart"/>
      <w:r w:rsidR="00DA2616">
        <w:rPr>
          <w:rFonts w:ascii="Times New Roman" w:hAnsi="Times New Roman"/>
          <w:sz w:val="26"/>
          <w:szCs w:val="26"/>
        </w:rPr>
        <w:t>лиц.</w:t>
      </w:r>
      <w:r w:rsidRPr="00E84DAC">
        <w:rPr>
          <w:rFonts w:ascii="Times New Roman" w:hAnsi="Times New Roman"/>
          <w:sz w:val="26"/>
          <w:szCs w:val="26"/>
        </w:rPr>
        <w:t>.</w:t>
      </w:r>
      <w:proofErr w:type="gramEnd"/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кадастровая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95207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B6D09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A47026">
        <w:rPr>
          <w:rFonts w:ascii="Times New Roman" w:hAnsi="Times New Roman"/>
          <w:sz w:val="26"/>
          <w:szCs w:val="26"/>
        </w:rPr>
        <w:t>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Налогоплательщикам предоставить документы,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РФ..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95207">
        <w:rPr>
          <w:rFonts w:ascii="Times New Roman" w:hAnsi="Times New Roman"/>
          <w:sz w:val="26"/>
          <w:szCs w:val="26"/>
        </w:rPr>
        <w:t xml:space="preserve"> Совета </w:t>
      </w:r>
      <w:r w:rsidR="00F72E5C">
        <w:rPr>
          <w:rFonts w:ascii="Times New Roman" w:hAnsi="Times New Roman"/>
          <w:sz w:val="26"/>
          <w:szCs w:val="26"/>
        </w:rPr>
        <w:t>депутатов Мяконькского</w:t>
      </w:r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095207">
        <w:rPr>
          <w:rFonts w:ascii="Times New Roman" w:hAnsi="Times New Roman"/>
          <w:sz w:val="26"/>
          <w:szCs w:val="26"/>
        </w:rPr>
        <w:t>льского поселения от 05.11</w:t>
      </w:r>
      <w:r w:rsidR="00A47026">
        <w:rPr>
          <w:rFonts w:ascii="Times New Roman" w:hAnsi="Times New Roman"/>
          <w:sz w:val="26"/>
          <w:szCs w:val="26"/>
        </w:rPr>
        <w:t xml:space="preserve">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F72E5C">
        <w:rPr>
          <w:rFonts w:ascii="Times New Roman" w:hAnsi="Times New Roman"/>
          <w:sz w:val="26"/>
          <w:szCs w:val="26"/>
        </w:rPr>
        <w:t xml:space="preserve"> 10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F72E5C">
        <w:rPr>
          <w:rFonts w:ascii="Times New Roman" w:hAnsi="Times New Roman"/>
          <w:sz w:val="26"/>
          <w:szCs w:val="26"/>
        </w:rPr>
        <w:t>ие Совета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>
        <w:rPr>
          <w:rFonts w:ascii="Times New Roman" w:hAnsi="Times New Roman"/>
          <w:sz w:val="26"/>
          <w:szCs w:val="26"/>
        </w:rPr>
        <w:t xml:space="preserve">ипального </w:t>
      </w:r>
      <w:r w:rsidR="00F72E5C">
        <w:rPr>
          <w:rFonts w:ascii="Times New Roman" w:hAnsi="Times New Roman"/>
          <w:sz w:val="26"/>
          <w:szCs w:val="26"/>
        </w:rPr>
        <w:t>района  от 25.06.2020 года № 140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</w:t>
      </w:r>
      <w:r w:rsidR="00F72E5C">
        <w:rPr>
          <w:rFonts w:ascii="Times New Roman" w:hAnsi="Times New Roman"/>
          <w:sz w:val="26"/>
          <w:szCs w:val="26"/>
        </w:rPr>
        <w:t>а депутатов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F72E5C">
        <w:rPr>
          <w:rFonts w:ascii="Times New Roman" w:hAnsi="Times New Roman"/>
          <w:sz w:val="26"/>
          <w:szCs w:val="26"/>
        </w:rPr>
        <w:t>ие Совета депутатов Мяконькского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F72E5C">
        <w:rPr>
          <w:rFonts w:ascii="Times New Roman" w:hAnsi="Times New Roman"/>
          <w:sz w:val="26"/>
          <w:szCs w:val="26"/>
        </w:rPr>
        <w:t>ого района от 21.08.2020г. № 145</w:t>
      </w:r>
      <w:r>
        <w:rPr>
          <w:rFonts w:ascii="Times New Roman" w:hAnsi="Times New Roman"/>
          <w:sz w:val="26"/>
          <w:szCs w:val="26"/>
        </w:rPr>
        <w:t xml:space="preserve"> 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</w:t>
      </w:r>
      <w:r w:rsidR="00F72E5C">
        <w:rPr>
          <w:rFonts w:ascii="Times New Roman" w:hAnsi="Times New Roman"/>
          <w:sz w:val="26"/>
          <w:szCs w:val="26"/>
        </w:rPr>
        <w:t xml:space="preserve">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</w:t>
      </w:r>
      <w:r w:rsidR="00FB6D09">
        <w:rPr>
          <w:rFonts w:ascii="Times New Roman" w:hAnsi="Times New Roman"/>
          <w:sz w:val="26"/>
          <w:szCs w:val="26"/>
        </w:rPr>
        <w:t>га на имущество физических лиц».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F72E5C">
        <w:rPr>
          <w:rFonts w:ascii="Times New Roman" w:hAnsi="Times New Roman"/>
          <w:color w:val="000000"/>
          <w:sz w:val="26"/>
          <w:szCs w:val="26"/>
        </w:rPr>
        <w:t>Мяконькского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F72E5C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Мяконькского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8244E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Е.М. Мотовилов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10009"/>
    <w:rsid w:val="0002788F"/>
    <w:rsid w:val="00043178"/>
    <w:rsid w:val="00095207"/>
    <w:rsid w:val="001149F0"/>
    <w:rsid w:val="001B5EA7"/>
    <w:rsid w:val="002E1D31"/>
    <w:rsid w:val="002F34BC"/>
    <w:rsid w:val="002F5346"/>
    <w:rsid w:val="00377F62"/>
    <w:rsid w:val="003B2190"/>
    <w:rsid w:val="003E5D48"/>
    <w:rsid w:val="00431125"/>
    <w:rsid w:val="004F4FD3"/>
    <w:rsid w:val="005C3D21"/>
    <w:rsid w:val="00645170"/>
    <w:rsid w:val="00645BDC"/>
    <w:rsid w:val="00763996"/>
    <w:rsid w:val="0077603C"/>
    <w:rsid w:val="008244E1"/>
    <w:rsid w:val="008F1202"/>
    <w:rsid w:val="00A47026"/>
    <w:rsid w:val="00AC3635"/>
    <w:rsid w:val="00C265F2"/>
    <w:rsid w:val="00C91AA5"/>
    <w:rsid w:val="00D367F6"/>
    <w:rsid w:val="00D478CF"/>
    <w:rsid w:val="00DA2616"/>
    <w:rsid w:val="00F72E5C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24F2D2"/>
  <w15:docId w15:val="{3ADB3E5C-F4F4-4E96-B215-24E09AF2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8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100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БурковаЕС</cp:lastModifiedBy>
  <cp:revision>21</cp:revision>
  <cp:lastPrinted>2024-10-14T09:01:00Z</cp:lastPrinted>
  <dcterms:created xsi:type="dcterms:W3CDTF">2024-10-14T06:06:00Z</dcterms:created>
  <dcterms:modified xsi:type="dcterms:W3CDTF">2024-10-18T09:15:00Z</dcterms:modified>
</cp:coreProperties>
</file>